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F1" w:rsidRPr="00856BF1" w:rsidRDefault="00A41C16" w:rsidP="00856BF1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 w:cs="Frutiger Linotype"/>
          <w:b/>
          <w:color w:val="000000"/>
          <w:sz w:val="24"/>
          <w:szCs w:val="24"/>
        </w:rPr>
        <w:t xml:space="preserve">2-Daagse </w:t>
      </w:r>
      <w:r w:rsidR="00BB4E37">
        <w:rPr>
          <w:rFonts w:ascii="Verdana" w:hAnsi="Verdana" w:cs="Frutiger Linotype"/>
          <w:b/>
          <w:color w:val="000000"/>
          <w:sz w:val="24"/>
          <w:szCs w:val="24"/>
        </w:rPr>
        <w:t>basis</w:t>
      </w:r>
      <w:r>
        <w:rPr>
          <w:rFonts w:ascii="Verdana" w:hAnsi="Verdana" w:cs="Frutiger Linotype"/>
          <w:b/>
          <w:color w:val="000000"/>
          <w:sz w:val="24"/>
          <w:szCs w:val="24"/>
        </w:rPr>
        <w:t>training</w:t>
      </w:r>
      <w:r w:rsidR="00F05F07">
        <w:rPr>
          <w:rFonts w:ascii="Verdana" w:hAnsi="Verdana" w:cs="Frutiger Linotype"/>
          <w:b/>
          <w:color w:val="000000"/>
          <w:sz w:val="24"/>
          <w:szCs w:val="24"/>
        </w:rPr>
        <w:t xml:space="preserve"> </w:t>
      </w:r>
      <w:r w:rsidR="00830BC1">
        <w:rPr>
          <w:rFonts w:ascii="Verdana" w:hAnsi="Verdana" w:cs="Frutiger Linotype"/>
          <w:b/>
          <w:color w:val="000000"/>
          <w:sz w:val="24"/>
          <w:szCs w:val="24"/>
        </w:rPr>
        <w:t>Motiverende Gespreksvoering</w:t>
      </w:r>
      <w:r w:rsidR="00856BF1">
        <w:rPr>
          <w:rFonts w:ascii="Verdana" w:hAnsi="Verdana" w:cs="Frutiger Linotype"/>
          <w:b/>
          <w:color w:val="000000"/>
          <w:sz w:val="24"/>
          <w:szCs w:val="24"/>
        </w:rPr>
        <w:t xml:space="preserve"> </w:t>
      </w:r>
      <w:r w:rsidR="00830BC1">
        <w:rPr>
          <w:rFonts w:ascii="Verdana" w:hAnsi="Verdana" w:cs="Frutiger Linotype"/>
          <w:b/>
          <w:color w:val="000000"/>
          <w:sz w:val="24"/>
          <w:szCs w:val="24"/>
        </w:rPr>
        <w:t>(MGV)</w:t>
      </w:r>
    </w:p>
    <w:p w:rsidR="00F05F07" w:rsidRDefault="00F05F07" w:rsidP="00A41C16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</w:p>
    <w:p w:rsidR="00856BF1" w:rsidRPr="004D708C" w:rsidRDefault="00856BF1" w:rsidP="00856BF1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Trainer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>Naam</w:t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>: Babs Smith, werkzaam voor GGD Academy en als zelfstandig onder</w:t>
      </w:r>
      <w:r w:rsidR="00040B1A">
        <w:rPr>
          <w:rFonts w:ascii="Verdana" w:hAnsi="Verdana" w:cs="Frutiger Linotype"/>
          <w:color w:val="000000"/>
          <w:sz w:val="18"/>
          <w:szCs w:val="18"/>
        </w:rPr>
        <w:t xml:space="preserve">nemer </w:t>
      </w:r>
      <w:r w:rsidR="00040B1A">
        <w:rPr>
          <w:rFonts w:ascii="Verdana" w:hAnsi="Verdana" w:cs="Frutiger Linotype"/>
          <w:color w:val="000000"/>
          <w:sz w:val="18"/>
          <w:szCs w:val="18"/>
        </w:rPr>
        <w:tab/>
      </w:r>
      <w:r w:rsidR="00040B1A">
        <w:rPr>
          <w:rFonts w:ascii="Verdana" w:hAnsi="Verdana" w:cs="Frutiger Linotype"/>
          <w:color w:val="000000"/>
          <w:sz w:val="18"/>
          <w:szCs w:val="18"/>
        </w:rPr>
        <w:tab/>
      </w:r>
      <w:r w:rsidR="00040B1A">
        <w:rPr>
          <w:rFonts w:ascii="Verdana" w:hAnsi="Verdana" w:cs="Frutiger Linotype"/>
          <w:color w:val="000000"/>
          <w:sz w:val="18"/>
          <w:szCs w:val="18"/>
        </w:rPr>
        <w:tab/>
        <w:t xml:space="preserve">  van BABS training &amp; c</w:t>
      </w:r>
      <w:r>
        <w:rPr>
          <w:rFonts w:ascii="Verdana" w:hAnsi="Verdana" w:cs="Frutiger Linotype"/>
          <w:color w:val="000000"/>
          <w:sz w:val="18"/>
          <w:szCs w:val="18"/>
        </w:rPr>
        <w:t>oaching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>Titel</w:t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>: Drs. / MSc.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>Relevante opleidingen</w:t>
      </w:r>
      <w:r>
        <w:rPr>
          <w:rFonts w:ascii="Verdana" w:hAnsi="Verdana" w:cs="Frutiger Linotype"/>
          <w:color w:val="000000"/>
          <w:sz w:val="18"/>
          <w:szCs w:val="18"/>
        </w:rPr>
        <w:tab/>
        <w:t>: Communicatiewetenschap - Universiteit van Amsterdam</w:t>
      </w:r>
      <w:r>
        <w:rPr>
          <w:rFonts w:ascii="Verdana" w:hAnsi="Verdana" w:cs="Frutiger Linotype"/>
          <w:color w:val="000000"/>
          <w:sz w:val="18"/>
          <w:szCs w:val="18"/>
        </w:rPr>
        <w:br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 xml:space="preserve">  Leergang Coaching voor Professionals – School voor Coaching Utrecht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 xml:space="preserve">  Train-de-trainer Motiverende Gespreksvoering – </w:t>
      </w:r>
      <w:proofErr w:type="spellStart"/>
      <w:r>
        <w:rPr>
          <w:rFonts w:ascii="Verdana" w:hAnsi="Verdana" w:cs="Frutiger Linotype"/>
          <w:color w:val="000000"/>
          <w:sz w:val="18"/>
          <w:szCs w:val="18"/>
        </w:rPr>
        <w:t>Zinpact</w:t>
      </w:r>
      <w:proofErr w:type="spellEnd"/>
      <w:r w:rsidR="00040B1A">
        <w:rPr>
          <w:rFonts w:ascii="Verdana" w:hAnsi="Verdana" w:cs="Frutiger Linotype"/>
          <w:color w:val="000000"/>
          <w:sz w:val="18"/>
          <w:szCs w:val="18"/>
        </w:rPr>
        <w:t>,</w:t>
      </w:r>
      <w:r>
        <w:rPr>
          <w:rFonts w:ascii="Verdana" w:hAnsi="Verdana" w:cs="Frutiger Linotype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Frutiger Linotype"/>
          <w:color w:val="000000"/>
          <w:sz w:val="18"/>
          <w:szCs w:val="18"/>
        </w:rPr>
        <w:t>Reinate</w:t>
      </w:r>
      <w:proofErr w:type="spellEnd"/>
      <w:r>
        <w:rPr>
          <w:rFonts w:ascii="Verdana" w:hAnsi="Verdana" w:cs="Frutiger Linotype"/>
          <w:color w:val="000000"/>
          <w:sz w:val="18"/>
          <w:szCs w:val="18"/>
        </w:rPr>
        <w:t xml:space="preserve"> Helsloot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 xml:space="preserve">  Train-de-trainer Algemeen – Schouten &amp; Nelissen</w:t>
      </w:r>
      <w:r>
        <w:rPr>
          <w:rFonts w:ascii="Verdana" w:hAnsi="Verdana" w:cs="Frutiger Linotype"/>
          <w:color w:val="000000"/>
          <w:sz w:val="18"/>
          <w:szCs w:val="18"/>
        </w:rPr>
        <w:tab/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>Functies</w:t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>: Communicatietrainer – vanaf 2013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 xml:space="preserve">  Coach – vanaf 2016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</w:r>
      <w:r>
        <w:rPr>
          <w:rFonts w:ascii="Verdana" w:hAnsi="Verdana" w:cs="Frutiger Linotype"/>
          <w:color w:val="000000"/>
          <w:sz w:val="18"/>
          <w:szCs w:val="18"/>
        </w:rPr>
        <w:tab/>
        <w:t xml:space="preserve">  Communicatieadviseur - vanaf 1996</w:t>
      </w:r>
    </w:p>
    <w:p w:rsidR="00856BF1" w:rsidRDefault="00856BF1" w:rsidP="00856BF1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p w:rsidR="00A41C16" w:rsidRPr="00A41C16" w:rsidRDefault="00A41C16" w:rsidP="00A41C16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p w:rsidR="00A41C16" w:rsidRPr="00A41C16" w:rsidRDefault="00A41C16" w:rsidP="00A41C16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Achtergrond</w:t>
      </w:r>
    </w:p>
    <w:p w:rsidR="00BB4E37" w:rsidRDefault="00BB4E37" w:rsidP="00BB4E37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Stel, iemand vindt dat u moet veranderen. Uw eerste reactie is waarschijnlijk: ‘</w:t>
      </w:r>
      <w:r w:rsidRPr="005D0CB5">
        <w:rPr>
          <w:rFonts w:ascii="Verdana" w:eastAsia="SimSun" w:hAnsi="Verdana" w:cs="Mangal"/>
          <w:i/>
          <w:color w:val="000000" w:themeColor="text1"/>
          <w:kern w:val="1"/>
          <w:sz w:val="18"/>
          <w:szCs w:val="18"/>
          <w:lang w:eastAsia="hi-IN" w:bidi="hi-IN"/>
        </w:rPr>
        <w:t>Dat bepaal ik zelf wel!’</w:t>
      </w:r>
      <w:r>
        <w:rPr>
          <w:rFonts w:ascii="Verdana" w:eastAsia="SimSun" w:hAnsi="Verdana" w:cs="Mangal"/>
          <w:i/>
          <w:color w:val="000000" w:themeColor="text1"/>
          <w:kern w:val="1"/>
          <w:sz w:val="18"/>
          <w:szCs w:val="18"/>
          <w:lang w:eastAsia="hi-IN" w:bidi="hi-IN"/>
        </w:rPr>
        <w:t>.</w:t>
      </w:r>
      <w:r w:rsidRPr="005D0CB5">
        <w:rPr>
          <w:rFonts w:ascii="Verdana" w:eastAsia="SimSun" w:hAnsi="Verdana" w:cs="Mangal"/>
          <w:i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Mensen overtuigen of dwingen om te ver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anderen, werkt niet. Hoe krijgen 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professional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s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een cliënt dan toch zover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om een gedragsverandering door te voeren die ten goede komt van de eigen gezondheid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? </w:t>
      </w:r>
    </w:p>
    <w:p w:rsidR="00BB4E37" w:rsidRDefault="00BB4E37" w:rsidP="00BB4E37">
      <w:pPr>
        <w:widowControl w:val="0"/>
        <w:suppressAutoHyphens/>
        <w:rPr>
          <w:rFonts w:ascii="Verdana" w:hAnsi="Verdana" w:cs="Tahoma"/>
          <w:color w:val="000000" w:themeColor="text1"/>
          <w:sz w:val="18"/>
          <w:szCs w:val="18"/>
        </w:rPr>
      </w:pPr>
    </w:p>
    <w:p w:rsidR="00BB4E37" w:rsidRPr="005D0CB5" w:rsidRDefault="00BB4E37" w:rsidP="00BB4E37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24"/>
          <w:szCs w:val="24"/>
          <w:lang w:eastAsia="hi-IN" w:bidi="hi-IN"/>
        </w:rPr>
      </w:pP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Motiverende Gespreksvoering is meer dan het toepassen van een setje gesprekstechnieken, het is een grondhouding. Het is een cliëntgerichte, doelgerichte manier van begeleiden. 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Door m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ensen 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te helpen 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om hun tegenstrijdige gevoelens (ambivalentie) over iets te onderzoeken, 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ontstaat er een g</w:t>
      </w:r>
      <w:r w:rsidRPr="005D0CB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roter commitment om te veranderen.</w:t>
      </w:r>
    </w:p>
    <w:p w:rsidR="00BB4E37" w:rsidRPr="005D0CB5" w:rsidRDefault="00BB4E37" w:rsidP="00BB4E37">
      <w:pPr>
        <w:tabs>
          <w:tab w:val="left" w:pos="0"/>
        </w:tabs>
        <w:rPr>
          <w:rFonts w:ascii="Verdana" w:hAnsi="Verdana" w:cs="Arial"/>
          <w:b/>
          <w:color w:val="000000" w:themeColor="text1"/>
          <w:sz w:val="18"/>
          <w:szCs w:val="18"/>
        </w:rPr>
      </w:pPr>
      <w:r w:rsidRPr="005D0CB5">
        <w:rPr>
          <w:rFonts w:ascii="Verdana" w:hAnsi="Verdana" w:cs="Arial"/>
          <w:b/>
          <w:color w:val="000000" w:themeColor="text1"/>
          <w:sz w:val="18"/>
          <w:szCs w:val="18"/>
        </w:rPr>
        <w:tab/>
      </w:r>
    </w:p>
    <w:p w:rsidR="00BB4E37" w:rsidRPr="00BB4E37" w:rsidRDefault="00830BC1" w:rsidP="00BB4E37">
      <w:pPr>
        <w:widowControl w:val="0"/>
        <w:suppressAutoHyphens/>
        <w:outlineLvl w:val="0"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Uitgangspunten</w:t>
      </w:r>
      <w:r w:rsidR="00BB4E37" w:rsidRPr="00BB4E37">
        <w:rPr>
          <w:rFonts w:ascii="Verdana" w:hAnsi="Verdana" w:cs="Frutiger Linotype"/>
          <w:b/>
          <w:color w:val="000000"/>
          <w:sz w:val="24"/>
          <w:szCs w:val="24"/>
        </w:rPr>
        <w:t xml:space="preserve"> </w:t>
      </w:r>
      <w:r>
        <w:rPr>
          <w:rFonts w:ascii="Verdana" w:hAnsi="Verdana" w:cs="Frutiger Linotype"/>
          <w:b/>
          <w:color w:val="000000"/>
          <w:sz w:val="24"/>
          <w:szCs w:val="24"/>
        </w:rPr>
        <w:t>MGV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Verandering op basis van interne motivatie is positiever, groter en blijft langer bestaan.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Motivatie tot gedragsverandering komt vanuit de cliënt en wordt niet van buitenaf opgelegd.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Iemand overtuigen is geen effectieve strategie om iemand te veranderen.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Het is de taak van de cliënt - en niet van de professional - om uitdrukking te geven aan de eigen ambivalentie en daar een oplossing voor te zoeken.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Als professional ben je directief in het bijstaan van de cliënt, die de eigen ambivalentie onderzoekt en oplost.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De bereidheid tot gedragsverandering is een wisselend product van de interactie tussen cliënt en professional.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De cliënt wordt gezien als competent.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De stijl en sfeer van begeleiding is respectvol en uitnodigend. </w:t>
      </w:r>
    </w:p>
    <w:p w:rsidR="00BB4E37" w:rsidRPr="00FA1627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De verhouding tussen professional en cliënt is gelijkwaardig</w:t>
      </w:r>
      <w:r w:rsidRPr="00FA1627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.</w:t>
      </w:r>
    </w:p>
    <w:p w:rsidR="00BB4E37" w:rsidRDefault="00BB4E37" w:rsidP="00A41C16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</w:p>
    <w:p w:rsidR="00856BF1" w:rsidRDefault="00856BF1" w:rsidP="00BB4E37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Leerdoelen</w:t>
      </w:r>
      <w:r w:rsidR="00830BC1">
        <w:rPr>
          <w:rFonts w:ascii="Verdana" w:hAnsi="Verdana" w:cs="Frutiger Linotype"/>
          <w:b/>
          <w:color w:val="000000"/>
          <w:sz w:val="24"/>
          <w:szCs w:val="24"/>
        </w:rPr>
        <w:t xml:space="preserve"> training MGV</w:t>
      </w:r>
    </w:p>
    <w:p w:rsidR="007D0F46" w:rsidRDefault="00830BC1" w:rsidP="00BB4E37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deelnemers kunnen</w:t>
      </w:r>
      <w:r w:rsidR="007D0F46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na deze basistraining Motiverende Gespreksvoering</w:t>
      </w:r>
      <w:r w:rsidR="004F72BF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:</w:t>
      </w:r>
    </w:p>
    <w:p w:rsidR="00040B1A" w:rsidRDefault="007D0F46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Begrijpen wat</w:t>
      </w:r>
      <w:r w:rsidR="00AE11ED"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motiveren</w:t>
      </w:r>
      <w:r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is, wat </w:t>
      </w:r>
      <w:r w:rsidR="00AE11ED"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wel/niet</w:t>
      </w:r>
      <w:r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werkt</w:t>
      </w:r>
    </w:p>
    <w:p w:rsidR="007D0F46" w:rsidRPr="00830BC1" w:rsidRDefault="00830BC1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I</w:t>
      </w:r>
      <w:r w:rsidR="007D0F46"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ntrinsieke motivatie bij cliënten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herkennen en</w:t>
      </w:r>
      <w:r w:rsidR="007D0F46" w:rsidRP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vergroten</w:t>
      </w:r>
    </w:p>
    <w:p w:rsidR="00442749" w:rsidRDefault="00830BC1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lastRenderedPageBreak/>
        <w:t>De verschillende fases van gedragsverandering herkennen en daarop aansluiten</w:t>
      </w:r>
    </w:p>
    <w:p w:rsidR="00830BC1" w:rsidRPr="00442749" w:rsidRDefault="00442749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juiste grondhouding toepassen tijdens een motiverend gesprek</w:t>
      </w:r>
    </w:p>
    <w:p w:rsidR="00830BC1" w:rsidRDefault="00040B1A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</w:t>
      </w:r>
      <w:r w:rsid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reparatiereflex vermijden en sturen op eigen verantwoordelijkheid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van de cliënt</w:t>
      </w:r>
    </w:p>
    <w:p w:rsidR="00040B1A" w:rsidRDefault="00442749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e</w:t>
      </w:r>
      <w:r w:rsidR="00830BC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igen kracht van de cliënt vergroten</w:t>
      </w:r>
    </w:p>
    <w:p w:rsidR="00040B1A" w:rsidRDefault="00040B1A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Omgaan met weerstand</w:t>
      </w:r>
    </w:p>
    <w:p w:rsidR="00040B1A" w:rsidRDefault="00442749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Basis </w:t>
      </w:r>
      <w:r w:rsidR="00040B1A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communicatievaardigheden toepassen; (N)ORBS </w:t>
      </w:r>
    </w:p>
    <w:p w:rsidR="00040B1A" w:rsidRDefault="00040B1A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Veranderwens ontlokken en vergroten</w:t>
      </w:r>
    </w:p>
    <w:p w:rsidR="007D0F46" w:rsidRPr="00040B1A" w:rsidRDefault="00040B1A" w:rsidP="00830BC1">
      <w:pPr>
        <w:pStyle w:val="Lijstalinea"/>
        <w:widowControl w:val="0"/>
        <w:numPr>
          <w:ilvl w:val="0"/>
          <w:numId w:val="10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Concretiseren van actieplannen</w:t>
      </w:r>
    </w:p>
    <w:p w:rsidR="00040B1A" w:rsidRDefault="00040B1A" w:rsidP="00BB4E37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</w:p>
    <w:p w:rsidR="00040B1A" w:rsidRPr="00BB4E37" w:rsidRDefault="00040B1A" w:rsidP="00040B1A">
      <w:pPr>
        <w:widowControl w:val="0"/>
        <w:suppressAutoHyphens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Theoretisch kader</w:t>
      </w:r>
    </w:p>
    <w:p w:rsidR="00856BF1" w:rsidRPr="00B93739" w:rsidRDefault="00BE1053" w:rsidP="00BB4E37">
      <w:pPr>
        <w:widowControl w:val="0"/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training is gebaseerd op</w:t>
      </w:r>
      <w:r w:rsidR="00040B1A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literatuur van de grondleggers 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William </w:t>
      </w:r>
      <w:r w:rsidR="00040B1A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Miller &amp; 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Stephen </w:t>
      </w:r>
      <w:r w:rsidR="00040B1A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Rol</w:t>
      </w:r>
      <w:r w:rsidR="0044274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l</w:t>
      </w:r>
      <w:r w:rsidR="00040B1A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nick.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Er wordt gewerkt met theorie uit ‘Motiverende Gespreksvoering; Mensen helpen veranderen’, 3</w:t>
      </w:r>
      <w:r w:rsidR="00B93739" w:rsidRP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vertAlign w:val="superscript"/>
          <w:lang w:eastAsia="hi-IN" w:bidi="hi-IN"/>
        </w:rPr>
        <w:t>e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editie 2014. Daarnaast wordt gewerkt met de verandercirkel van </w:t>
      </w:r>
      <w:r w:rsidR="0044274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Prochasca &amp; DiC</w:t>
      </w:r>
      <w:r w:rsidR="00AE11ED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lemente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uit de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2</w:t>
      </w:r>
      <w:r w:rsidR="00B93739" w:rsidRP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vertAlign w:val="superscript"/>
          <w:lang w:eastAsia="hi-IN" w:bidi="hi-IN"/>
        </w:rPr>
        <w:t>e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editie 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Miller &amp; Ro</w:t>
      </w:r>
      <w:r w:rsidR="0044274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l</w:t>
      </w: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lnick </w:t>
      </w:r>
      <w:r w:rsidR="0042208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en hun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boek ‘Motiverende Gespreksvoering in de Gezondheidszorg; Werken aan gedragsverandering als j</w:t>
      </w:r>
      <w:r w:rsidR="00422085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e maar 7 minuten hebt’. Bij aanvang van</w:t>
      </w:r>
      <w:r w:rsidR="00B93739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de training ontvangen de deelnemers een syllabus met alle theorie (zie bijlage). </w:t>
      </w:r>
    </w:p>
    <w:p w:rsidR="00856BF1" w:rsidRDefault="00856BF1" w:rsidP="00BB4E37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</w:p>
    <w:p w:rsidR="00BB4E37" w:rsidRPr="00BB4E37" w:rsidRDefault="00BB4E37" w:rsidP="00BB4E37">
      <w:pPr>
        <w:widowControl w:val="0"/>
        <w:suppressAutoHyphens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>Training</w:t>
      </w:r>
      <w:r w:rsidR="00040B1A">
        <w:rPr>
          <w:rFonts w:ascii="Verdana" w:hAnsi="Verdana" w:cs="Frutiger Linotype"/>
          <w:b/>
          <w:color w:val="000000"/>
          <w:sz w:val="24"/>
          <w:szCs w:val="24"/>
        </w:rPr>
        <w:t xml:space="preserve"> MGV</w:t>
      </w:r>
    </w:p>
    <w:p w:rsidR="00BB4E37" w:rsidRPr="00856BF1" w:rsidRDefault="00A41C16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In deze training staat ervaringsgericht leren centraal. Dit betekent dat ervaringsoefeningen </w:t>
      </w:r>
      <w:r w:rsidR="00BB4E37"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worden </w:t>
      </w: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afgewisseld door korte stukjes theorie. </w:t>
      </w:r>
    </w:p>
    <w:p w:rsidR="00BB4E37" w:rsidRPr="00856BF1" w:rsidRDefault="00A41C16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>De theorie wordt aangebo</w:t>
      </w:r>
      <w:r w:rsidR="00BB4E37"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den in overzichtelijke modellen. </w:t>
      </w:r>
    </w:p>
    <w:p w:rsidR="00BB4E37" w:rsidRPr="00856BF1" w:rsidRDefault="00A41C16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De trainer neemt een gidsende rol </w:t>
      </w:r>
      <w:r w:rsidR="00BB4E37"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in </w:t>
      </w:r>
      <w:r w:rsidRPr="00856BF1">
        <w:rPr>
          <w:rFonts w:ascii="Verdana" w:hAnsi="Verdana"/>
          <w:color w:val="000000" w:themeColor="text1"/>
          <w:kern w:val="1"/>
          <w:sz w:val="18"/>
          <w:szCs w:val="18"/>
          <w:lang w:bidi="hi-IN"/>
        </w:rPr>
        <w:t xml:space="preserve">en een voorbeeldfunctie in het toepassen van Motiverende </w:t>
      </w: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Gespreksvoering. Hierdoor kunnen de deelnemers zelf het effect ervaren. 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De deelnemers ontvangen een syllabus als naslagwerk (zie bijlage). </w:t>
      </w:r>
    </w:p>
    <w:p w:rsidR="00A41C16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Tussen de trainingsdagen is gekozen voor een periode van 2 weken. Hiermee worden de deelnemers in de gelegenheid gesteld om met hun persoonlijke leerdoelen aan de slag te gaan in de praktijk. </w:t>
      </w:r>
    </w:p>
    <w:p w:rsid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basistraining Motiverende Gespreksvoering bestaat uit 2 dagen (4 dagdelen van 3,5 uur).</w:t>
      </w:r>
    </w:p>
    <w:p w:rsidR="00856BF1" w:rsidRDefault="00856BF1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Het</w:t>
      </w: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aantal deelnemers is minimaal 6 en maximaal 12 personen. </w:t>
      </w:r>
      <w:r w:rsidR="00BB4E37"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</w:p>
    <w:p w:rsidR="00BB4E37" w:rsidRPr="00856BF1" w:rsidRDefault="00856BF1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 xml:space="preserve">Om het effect van de training te vergroten, wordt er vooraf, tussentijds en na afloop gecommuniceerd met de deelnemers. </w:t>
      </w:r>
    </w:p>
    <w:p w:rsidR="00BB4E37" w:rsidRPr="00856BF1" w:rsidRDefault="00BB4E37" w:rsidP="00856BF1">
      <w:pPr>
        <w:pStyle w:val="Lijstalinea"/>
        <w:widowControl w:val="0"/>
        <w:numPr>
          <w:ilvl w:val="0"/>
          <w:numId w:val="9"/>
        </w:numPr>
        <w:suppressAutoHyphens/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</w:pPr>
      <w:r w:rsidRPr="00856BF1">
        <w:rPr>
          <w:rFonts w:ascii="Verdana" w:eastAsia="SimSun" w:hAnsi="Verdana" w:cs="Mangal"/>
          <w:color w:val="000000" w:themeColor="text1"/>
          <w:kern w:val="1"/>
          <w:sz w:val="18"/>
          <w:szCs w:val="18"/>
          <w:lang w:eastAsia="hi-IN" w:bidi="hi-IN"/>
        </w:rPr>
        <w:t>De training is als volgt opgebouwd:</w:t>
      </w:r>
    </w:p>
    <w:p w:rsidR="00FB27C9" w:rsidRDefault="00FB27C9" w:rsidP="000B4888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:rsidR="000B4888" w:rsidRDefault="000B4888" w:rsidP="00856BF1">
      <w:pPr>
        <w:widowControl w:val="0"/>
        <w:suppressAutoHyphens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18"/>
          <w:szCs w:val="18"/>
        </w:rPr>
        <w:t>Dag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 xml:space="preserve"> 1:</w:t>
      </w:r>
      <w:r>
        <w:rPr>
          <w:rFonts w:ascii="Verdana" w:hAnsi="Verdana" w:cs="Frutiger Linotype"/>
          <w:b/>
          <w:color w:val="000000"/>
          <w:sz w:val="18"/>
          <w:szCs w:val="18"/>
        </w:rPr>
        <w:t xml:space="preserve"> 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9.00 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Kennismaken; Leerdoelen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9.15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556043">
              <w:rPr>
                <w:rFonts w:ascii="Verdana" w:hAnsi="Verdana"/>
                <w:sz w:val="18"/>
              </w:rPr>
              <w:t xml:space="preserve">5 </w:t>
            </w:r>
          </w:p>
        </w:tc>
        <w:tc>
          <w:tcPr>
            <w:tcW w:w="7654" w:type="dxa"/>
          </w:tcPr>
          <w:p w:rsidR="000B4888" w:rsidRPr="00556043" w:rsidRDefault="003E260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0B4888" w:rsidRPr="003E2609">
              <w:rPr>
                <w:rFonts w:ascii="Verdana" w:hAnsi="Verdana"/>
                <w:sz w:val="18"/>
              </w:rPr>
              <w:t>otiveren; Intrinsieke motivatie (theorie + 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Leerdoelen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Proces van veranderen; Verandercyclu</w:t>
            </w:r>
            <w:r w:rsidR="003E2609">
              <w:rPr>
                <w:rFonts w:ascii="Verdana" w:hAnsi="Verdana"/>
                <w:sz w:val="18"/>
              </w:rPr>
              <w:t>s van Prochaska &amp;</w:t>
            </w:r>
            <w:r w:rsidRPr="003E2609">
              <w:rPr>
                <w:rFonts w:ascii="Verdana" w:hAnsi="Verdana"/>
                <w:sz w:val="18"/>
              </w:rPr>
              <w:t xml:space="preserve"> DiClemente (theorie)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Reparatiereflex (theorie + 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 fases in een gesprek  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Grondhouding MGV; Oordeelloos luisteren (theorie + oefening)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12.15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Interpretaties/observaties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Reflecteren (theorie + 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Luisteren Samenvatten Doorvragen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lastRenderedPageBreak/>
              <w:t>13.45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</w:t>
            </w:r>
            <w:r w:rsidRPr="00556043">
              <w:rPr>
                <w:rFonts w:ascii="Verdana" w:hAnsi="Verdana"/>
                <w:sz w:val="18"/>
              </w:rPr>
              <w:t>ordeelloos luisteren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(theorie)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Reflecteren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Leerdoelen uitvragen </w:t>
            </w:r>
            <w:r>
              <w:rPr>
                <w:rFonts w:ascii="Verdana" w:hAnsi="Verdana"/>
                <w:sz w:val="18"/>
              </w:rPr>
              <w:t>(oefening)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16.45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tips &amp; tops</w:t>
            </w:r>
          </w:p>
        </w:tc>
      </w:tr>
    </w:tbl>
    <w:p w:rsidR="002111C3" w:rsidRPr="00B336CD" w:rsidRDefault="002111C3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p w:rsidR="00FB27C9" w:rsidRDefault="00FB27C9" w:rsidP="00FB27C9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:rsidR="00FA6D97" w:rsidRDefault="00FB27C9" w:rsidP="002111C3">
      <w:r>
        <w:rPr>
          <w:rFonts w:ascii="Verdana" w:hAnsi="Verdana" w:cs="Frutiger Linotype"/>
          <w:b/>
          <w:color w:val="000000"/>
          <w:sz w:val="18"/>
          <w:szCs w:val="18"/>
        </w:rPr>
        <w:t>Dag 2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>:</w:t>
      </w:r>
      <w:r>
        <w:rPr>
          <w:rFonts w:ascii="Verdana" w:hAnsi="Verdana" w:cs="Frutiger Linotype"/>
          <w:b/>
          <w:color w:val="000000"/>
          <w:sz w:val="18"/>
          <w:szCs w:val="18"/>
        </w:rPr>
        <w:t xml:space="preserve"> 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9.00 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Herhaling high lights dagdeel 2; Bespreken praktijkervaringen o.b.v. leerdoelen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9.30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15 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</w:t>
            </w:r>
            <w:r w:rsidR="0044274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lights dag 1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Neutraal informeren </w:t>
            </w:r>
            <w:r w:rsidRPr="003E2609">
              <w:rPr>
                <w:rFonts w:ascii="Verdana" w:hAnsi="Verdana"/>
                <w:sz w:val="18"/>
              </w:rPr>
              <w:t>(theorie)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Bekrachtigen (theorie + oefening)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</w:t>
            </w:r>
          </w:p>
        </w:tc>
        <w:tc>
          <w:tcPr>
            <w:tcW w:w="7654" w:type="dxa"/>
          </w:tcPr>
          <w:p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Weerstand (theorie + oefening)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Omgaan met weerstand (oefening)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Verandertaal/behoudtaal (theorie + oefeningen)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(theorie )</w:t>
            </w:r>
          </w:p>
        </w:tc>
      </w:tr>
      <w:tr w:rsidR="000B4888" w:rsidRPr="009C36E8">
        <w:tc>
          <w:tcPr>
            <w:tcW w:w="817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>
        <w:tc>
          <w:tcPr>
            <w:tcW w:w="817" w:type="dxa"/>
          </w:tcPr>
          <w:p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(oefening)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15.15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:rsidR="000B4888" w:rsidRPr="00556043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Pr="003E2609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Casuïstiek bespreken</w:t>
            </w:r>
          </w:p>
        </w:tc>
      </w:tr>
      <w:tr w:rsidR="000B4888" w:rsidRPr="009C36E8">
        <w:tc>
          <w:tcPr>
            <w:tcW w:w="817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16.</w:t>
            </w:r>
            <w:r>
              <w:rPr>
                <w:rFonts w:ascii="Verdana" w:hAnsi="Verdana"/>
                <w:sz w:val="18"/>
              </w:rPr>
              <w:t>00</w:t>
            </w:r>
          </w:p>
        </w:tc>
        <w:tc>
          <w:tcPr>
            <w:tcW w:w="709" w:type="dxa"/>
          </w:tcPr>
          <w:p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</w:t>
            </w:r>
            <w:r w:rsidR="00FB27C9">
              <w:rPr>
                <w:rFonts w:ascii="Verdana" w:hAnsi="Verdana"/>
                <w:sz w:val="18"/>
              </w:rPr>
              <w:t>(</w:t>
            </w:r>
            <w:r w:rsidR="00FB27C9" w:rsidRPr="00DE1DAA">
              <w:rPr>
                <w:rFonts w:ascii="Verdana" w:hAnsi="Verdana"/>
                <w:sz w:val="18"/>
              </w:rPr>
              <w:t>tips &amp; tops</w:t>
            </w:r>
            <w:r w:rsidR="00FB27C9">
              <w:rPr>
                <w:rFonts w:ascii="Verdana" w:hAnsi="Verdana"/>
                <w:sz w:val="18"/>
              </w:rPr>
              <w:t>)</w:t>
            </w:r>
          </w:p>
          <w:p w:rsidR="000B4888" w:rsidRPr="00556043" w:rsidRDefault="00FB27C9" w:rsidP="00FB27C9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Evaluatieformulier</w:t>
            </w:r>
            <w:r w:rsidRPr="00556043">
              <w:rPr>
                <w:rFonts w:ascii="Verdana" w:hAnsi="Verdana"/>
                <w:sz w:val="18"/>
              </w:rPr>
              <w:t xml:space="preserve"> </w:t>
            </w:r>
          </w:p>
        </w:tc>
      </w:tr>
    </w:tbl>
    <w:p w:rsidR="00D61F57" w:rsidRDefault="00D61F57" w:rsidP="00FB27C9">
      <w:pPr>
        <w:spacing w:after="200" w:line="276" w:lineRule="auto"/>
        <w:rPr>
          <w:rFonts w:ascii="Verdana" w:hAnsi="Verdana" w:cs="Frutiger Linotype"/>
          <w:b/>
          <w:color w:val="000000"/>
          <w:sz w:val="18"/>
          <w:szCs w:val="18"/>
        </w:rPr>
      </w:pPr>
    </w:p>
    <w:p w:rsidR="00D61F57" w:rsidRDefault="00D61F57" w:rsidP="00FB27C9">
      <w:pPr>
        <w:spacing w:after="200" w:line="276" w:lineRule="auto"/>
        <w:rPr>
          <w:rFonts w:ascii="Verdana" w:hAnsi="Verdana" w:cs="Frutiger Linotype"/>
          <w:b/>
          <w:color w:val="000000"/>
          <w:sz w:val="18"/>
          <w:szCs w:val="18"/>
        </w:rPr>
      </w:pPr>
    </w:p>
    <w:p w:rsidR="001B46A2" w:rsidRDefault="001B46A2" w:rsidP="00FB27C9">
      <w:pPr>
        <w:spacing w:after="200" w:line="276" w:lineRule="auto"/>
        <w:rPr>
          <w:rFonts w:ascii="Verdana" w:hAnsi="Verdana" w:cs="Frutiger Linotype"/>
          <w:b/>
          <w:color w:val="000000"/>
          <w:sz w:val="18"/>
          <w:szCs w:val="18"/>
        </w:rPr>
      </w:pPr>
    </w:p>
    <w:sectPr w:rsidR="001B46A2" w:rsidSect="00FB27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notype">
    <w:altName w:val="Cambria"/>
    <w:charset w:val="00"/>
    <w:family w:val="swiss"/>
    <w:pitch w:val="variable"/>
    <w:sig w:usb0="000000F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9BA"/>
    <w:multiLevelType w:val="hybridMultilevel"/>
    <w:tmpl w:val="64EE79B0"/>
    <w:lvl w:ilvl="0" w:tplc="7856F436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225"/>
    <w:multiLevelType w:val="hybridMultilevel"/>
    <w:tmpl w:val="3D3E00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B94"/>
    <w:multiLevelType w:val="hybridMultilevel"/>
    <w:tmpl w:val="C0921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6DE"/>
    <w:multiLevelType w:val="hybridMultilevel"/>
    <w:tmpl w:val="39921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08E977C">
      <w:start w:val="23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01DC4"/>
    <w:multiLevelType w:val="hybridMultilevel"/>
    <w:tmpl w:val="C40ED4D6"/>
    <w:lvl w:ilvl="0" w:tplc="0BF86B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185F"/>
    <w:multiLevelType w:val="hybridMultilevel"/>
    <w:tmpl w:val="748A4CA2"/>
    <w:lvl w:ilvl="0" w:tplc="7856F436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3A98"/>
    <w:multiLevelType w:val="hybridMultilevel"/>
    <w:tmpl w:val="25F0B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D2822"/>
    <w:multiLevelType w:val="hybridMultilevel"/>
    <w:tmpl w:val="9D463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30AA"/>
    <w:multiLevelType w:val="hybridMultilevel"/>
    <w:tmpl w:val="54ACC3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C28BD"/>
    <w:multiLevelType w:val="hybridMultilevel"/>
    <w:tmpl w:val="120217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D"/>
    <w:rsid w:val="00040B1A"/>
    <w:rsid w:val="0004229A"/>
    <w:rsid w:val="00052455"/>
    <w:rsid w:val="000B4888"/>
    <w:rsid w:val="000D1C89"/>
    <w:rsid w:val="000D5604"/>
    <w:rsid w:val="000F5A92"/>
    <w:rsid w:val="00151ECD"/>
    <w:rsid w:val="001B46A2"/>
    <w:rsid w:val="001B7D7D"/>
    <w:rsid w:val="002111C3"/>
    <w:rsid w:val="00243713"/>
    <w:rsid w:val="00254924"/>
    <w:rsid w:val="00283EDE"/>
    <w:rsid w:val="002A1F0E"/>
    <w:rsid w:val="002A3224"/>
    <w:rsid w:val="002E028E"/>
    <w:rsid w:val="003341CF"/>
    <w:rsid w:val="003A4BD0"/>
    <w:rsid w:val="003E2609"/>
    <w:rsid w:val="00422085"/>
    <w:rsid w:val="00442749"/>
    <w:rsid w:val="004D708C"/>
    <w:rsid w:val="004F72BF"/>
    <w:rsid w:val="00572EC6"/>
    <w:rsid w:val="005E2022"/>
    <w:rsid w:val="007676B0"/>
    <w:rsid w:val="00777094"/>
    <w:rsid w:val="007D0F46"/>
    <w:rsid w:val="00830BC1"/>
    <w:rsid w:val="0083501D"/>
    <w:rsid w:val="00856BF1"/>
    <w:rsid w:val="00915124"/>
    <w:rsid w:val="00993811"/>
    <w:rsid w:val="00A41C16"/>
    <w:rsid w:val="00AB7844"/>
    <w:rsid w:val="00AE11ED"/>
    <w:rsid w:val="00B336CD"/>
    <w:rsid w:val="00B93739"/>
    <w:rsid w:val="00BB4E37"/>
    <w:rsid w:val="00BE1053"/>
    <w:rsid w:val="00BE6431"/>
    <w:rsid w:val="00D14405"/>
    <w:rsid w:val="00D61F57"/>
    <w:rsid w:val="00D75143"/>
    <w:rsid w:val="00D93A78"/>
    <w:rsid w:val="00E40085"/>
    <w:rsid w:val="00E759CA"/>
    <w:rsid w:val="00EC708C"/>
    <w:rsid w:val="00F05F07"/>
    <w:rsid w:val="00F068F8"/>
    <w:rsid w:val="00F82C2A"/>
    <w:rsid w:val="00FA6D97"/>
    <w:rsid w:val="00FB27C9"/>
    <w:rsid w:val="00FB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2747-537C-4658-9C8D-DAA9F87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36CD"/>
    <w:pPr>
      <w:spacing w:after="0" w:line="36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6CD"/>
    <w:pPr>
      <w:ind w:left="720"/>
      <w:contextualSpacing/>
    </w:pPr>
  </w:style>
  <w:style w:type="table" w:styleId="Tabelraster">
    <w:name w:val="Table Grid"/>
    <w:basedOn w:val="Standaardtabel"/>
    <w:uiPriority w:val="59"/>
    <w:rsid w:val="002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Vanneste, Yvonne</dc:creator>
  <cp:lastModifiedBy>Evelien Mertens</cp:lastModifiedBy>
  <cp:revision>2</cp:revision>
  <dcterms:created xsi:type="dcterms:W3CDTF">2017-04-03T11:59:00Z</dcterms:created>
  <dcterms:modified xsi:type="dcterms:W3CDTF">2017-04-03T11:59:00Z</dcterms:modified>
</cp:coreProperties>
</file>